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Layout w:type="fixed"/>
        <w:tblLook w:val="0000"/>
      </w:tblPr>
      <w:tblGrid>
        <w:gridCol w:w="1140"/>
        <w:gridCol w:w="1410"/>
        <w:gridCol w:w="1560"/>
        <w:gridCol w:w="2265"/>
        <w:gridCol w:w="1185"/>
        <w:gridCol w:w="1500"/>
        <w:tblGridChange w:id="0">
          <w:tblGrid>
            <w:gridCol w:w="1140"/>
            <w:gridCol w:w="1410"/>
            <w:gridCol w:w="1560"/>
            <w:gridCol w:w="2265"/>
            <w:gridCol w:w="1185"/>
            <w:gridCol w:w="15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PROGRAMA DE 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da disciplina (código):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Métodos e ferramentas da Epidemiologia Espacial aplicados no mapeamento de doenças e injúrias traumáticas (DMD5003/PCSD32)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Carga horária total: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horas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ind w:left="82" w:right="49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Ano: </w:t>
            </w:r>
          </w:p>
          <w:p w:rsidR="00000000" w:rsidDel="00000000" w:rsidP="00000000" w:rsidRDefault="00000000" w:rsidRPr="00000000" w14:paraId="00000015">
            <w:pPr>
              <w:ind w:left="82" w:right="49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right="49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Nível: </w:t>
            </w:r>
          </w:p>
          <w:p w:rsidR="00000000" w:rsidDel="00000000" w:rsidP="00000000" w:rsidRDefault="00000000" w:rsidRPr="00000000" w14:paraId="00000017">
            <w:pPr>
              <w:ind w:right="49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Doutorado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Práticos: 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Teóricos: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Pré-requisitos: Não há.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Co-requisitos: Não há.</w:t>
            </w:r>
          </w:p>
        </w:tc>
      </w:tr>
      <w:tr>
        <w:trPr>
          <w:cantSplit w:val="1"/>
          <w:trHeight w:val="807" w:hRule="atLeast"/>
          <w:tblHeader w:val="0"/>
        </w:trPr>
        <w:tc>
          <w:tcPr>
            <w:gridSpan w:val="6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Professor(es) responsável(eis):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Prof. Dr. Luciano de Andrade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Departamento: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Medicina (DMD/CCS/UEM)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rHeight w:val="7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Ementa: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Estudos sobre epidemiologia espacial nas situações de urgências/emergências clínicas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 traumáticas com ocorrência em espaços geográficos determinados. Uso de métodos geoestatísticos e de ferramentas de análise espacial no mapeamento de doenças e injúrias traumáticas.Verificação de relação entre determinantes socioeconômicos, demográficos e o ambiente construído e avaliação de acessibilidade e qualidade de infraestrutura dos serviços de saúde.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9"/>
        <w:tblGridChange w:id="0">
          <w:tblGrid>
            <w:gridCol w:w="90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Objetivo: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60" w:befor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Apresentar  metodologias de análise geoestatística para analisar eventos pontuais (hotspots) e áreas (clusters) no mapeamento de doenças e injúrias traumáticas; Promover o conhecimento sobre ferramentas de análise espacial, bem como o manuseio de softwares de livre acesso; Discutir técnicas de modelagem espacial para identificar associações no espaço geográfico entre os indicadores sociais,econômicos e demográficos na morbimortalidade  de doenças e injúrias traumáticas.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Programa: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Distribuição e autocorrelação espacial de dados de mortalidade no mapeamento de doenças e injúrias traumáticas.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Análise de dados espaço-temporais na morbimortalidade por doenças cardiovasculares e causas externas.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Método de varredura espacial na detecção de áreas de risco.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Modelos de Regressão Espacial</w:t>
            </w:r>
          </w:p>
          <w:p w:rsidR="00000000" w:rsidDel="00000000" w:rsidP="00000000" w:rsidRDefault="00000000" w:rsidRPr="00000000" w14:paraId="0000003F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OLS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Spatial Error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Spatial Lag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1"/>
              </w:numPr>
              <w:ind w:left="144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GWR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Análise de eventos Pontuais ( Estimador de Densidade de Kernel,  Métodos de interpolação espacial -  Inverso da Distância Ponderada (IDW) e Krigagem).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9"/>
        <w:tblGridChange w:id="0">
          <w:tblGrid>
            <w:gridCol w:w="90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Metodologia: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Aulas expositivas da parte teórica, que contemplem também a apresentação de exemplos, artigos e solução de problemas práticos.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9"/>
        <w:tblGridChange w:id="0">
          <w:tblGrid>
            <w:gridCol w:w="903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Avaliação: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Será uma única avaliação, com peso 1, a qual contará com a elaboração de  proposta de um artigo científico relacionado a uma metodologia de análise geoestatística no mapeamento de doenças e injúrias traumáticas (template Question Diagram), valendo de 0 (zero) a 10 (dez).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Conceitos: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 = 9,0 a 10,0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 = 7,5 a 8,9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 = 6,0 a 7,4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 = inferior a 6,0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Serão considerados aprovados os alunos que obtiverem os conceitos A, B ou C e porcentagem mínima de frequência de 75% de presença.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7.999999999999998" w:tblpY="163"/>
        <w:tblW w:w="9015.0" w:type="dxa"/>
        <w:jc w:val="left"/>
        <w:tblInd w:w="-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1"/>
          <w:trHeight w:val="79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Número mínimo de alunos: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Número máximo de alunos: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98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rHeight w:val="10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Referências: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Livros:</w:t>
            </w:r>
          </w:p>
          <w:p w:rsidR="00000000" w:rsidDel="00000000" w:rsidP="00000000" w:rsidRDefault="00000000" w:rsidRPr="00000000" w14:paraId="00000057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ANSELIN, L. Interactive techniques and exploratory spatial analysis. Longley  P.A, Goodchild M.F, Maguire D.J and Wind D. W (eds). Geographical information  systems: principles, techniques, management and applications. Wiley: New York., p. 253-265, 1998.</w:t>
            </w:r>
          </w:p>
          <w:p w:rsidR="00000000" w:rsidDel="00000000" w:rsidP="00000000" w:rsidRDefault="00000000" w:rsidRPr="00000000" w14:paraId="00000058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Anselin L, Syabri I, Kho Y. GeoDa: an introduction to spatial data analysis. Geogr Anal. 2006;38(1):5–22.</w:t>
            </w:r>
          </w:p>
          <w:p w:rsidR="00000000" w:rsidDel="00000000" w:rsidP="00000000" w:rsidRDefault="00000000" w:rsidRPr="00000000" w14:paraId="00000059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Bivand, R. S., Pebesma, E. J., Gómez-Rubio, V., &amp; Pebesma, E. J. (2008). Applied spatial data analysis with R (Vol. 747248717). New York: Springer.</w:t>
            </w:r>
          </w:p>
          <w:p w:rsidR="00000000" w:rsidDel="00000000" w:rsidP="00000000" w:rsidRDefault="00000000" w:rsidRPr="00000000" w14:paraId="0000005A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Quantum GIS Development Team, &lt;2016&gt;. Quantum GIS Geographic Information System Developers Manual. Open Source Geospatial Foundation Project.</w:t>
            </w:r>
          </w:p>
          <w:p w:rsidR="00000000" w:rsidDel="00000000" w:rsidP="00000000" w:rsidRDefault="00000000" w:rsidRPr="00000000" w14:paraId="0000005B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Elliot, P., Wakefield, J. C., Best, N. G., &amp; Briggs, D. J. (2000). Spatial epidemiology: methods and applications. Oxford University Press. </w:t>
            </w:r>
          </w:p>
          <w:p w:rsidR="00000000" w:rsidDel="00000000" w:rsidP="00000000" w:rsidRDefault="00000000" w:rsidRPr="00000000" w14:paraId="0000005C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ESRI 2011. ArcGIS Desktop: Release 10. Redlands, CA: Environmental Systems Research Institute.</w:t>
            </w:r>
          </w:p>
          <w:p w:rsidR="00000000" w:rsidDel="00000000" w:rsidP="00000000" w:rsidRDefault="00000000" w:rsidRPr="00000000" w14:paraId="0000005D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Nakaya T, Fotheringham AS, Charlton M, et al. Semiparametric geographically weighted generalised linear modelling in GWR 4.0. In: Lees BG, Laffan SW, eds. 10th International Conference on GeoComputation, 30th November-2nd. Sydney: UNSW, 2009</w:t>
            </w:r>
          </w:p>
          <w:p w:rsidR="00000000" w:rsidDel="00000000" w:rsidP="00000000" w:rsidRDefault="00000000" w:rsidRPr="00000000" w14:paraId="0000005E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Kanaroglou, P., &amp; Delmelle, E. (2016). Spatial analysis in health geography. Routledge.</w:t>
            </w:r>
          </w:p>
          <w:p w:rsidR="00000000" w:rsidDel="00000000" w:rsidP="00000000" w:rsidRDefault="00000000" w:rsidRPr="00000000" w14:paraId="0000005F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Lawson, Andrew B., et al., eds. Handbook of spatial epidemiology. CRC Press, 2016.</w:t>
            </w:r>
          </w:p>
          <w:p w:rsidR="00000000" w:rsidDel="00000000" w:rsidP="00000000" w:rsidRDefault="00000000" w:rsidRPr="00000000" w14:paraId="00000060">
            <w:pPr>
              <w:spacing w:after="60" w:before="6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LOURENÇO, R.W. Comparação entre métodos de interpolação para Sistemas de Informações Geográficas. Dissertação de mestrado elaborada junto ao curso de PósGraduação em Geociências – área de concentração em Geociências e Meio Ambiente do Instituto de Geociências e Ciências Exatas da Universidade Estadual Paulista, Campus de Rio Claro. Rio Claro, SP, 1998.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widowControl w:val="0"/>
      <w:spacing w:line="276" w:lineRule="auto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0"/>
      <w:tblW w:w="9150.0" w:type="dxa"/>
      <w:jc w:val="left"/>
      <w:tblInd w:w="-77.0" w:type="dxa"/>
      <w:tblLayout w:type="fixed"/>
      <w:tblLook w:val="0000"/>
    </w:tblPr>
    <w:tblGrid>
      <w:gridCol w:w="1245"/>
      <w:gridCol w:w="750"/>
      <w:gridCol w:w="105"/>
      <w:gridCol w:w="555"/>
      <w:gridCol w:w="1290"/>
      <w:gridCol w:w="1245"/>
      <w:gridCol w:w="1500"/>
      <w:gridCol w:w="1440"/>
      <w:gridCol w:w="1020"/>
      <w:tblGridChange w:id="0">
        <w:tblGrid>
          <w:gridCol w:w="1245"/>
          <w:gridCol w:w="750"/>
          <w:gridCol w:w="105"/>
          <w:gridCol w:w="555"/>
          <w:gridCol w:w="1290"/>
          <w:gridCol w:w="1245"/>
          <w:gridCol w:w="1500"/>
          <w:gridCol w:w="1440"/>
          <w:gridCol w:w="1020"/>
        </w:tblGrid>
      </w:tblGridChange>
    </w:tblGrid>
    <w:tr>
      <w:trPr>
        <w:cantSplit w:val="1"/>
        <w:tblHeader w:val="1"/>
      </w:trPr>
      <w:tc>
        <w:tcPr>
          <w:gridSpan w:val="9"/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</w:tcPr>
        <w:p w:rsidR="00000000" w:rsidDel="00000000" w:rsidP="00000000" w:rsidRDefault="00000000" w:rsidRPr="00000000" w14:paraId="0000006D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Aprovado na 1ª Reunião do Conselho Acadêmico do Programa de Pós-Graduação em</w:t>
          </w:r>
        </w:p>
        <w:p w:rsidR="00000000" w:rsidDel="00000000" w:rsidP="00000000" w:rsidRDefault="00000000" w:rsidRPr="00000000" w14:paraId="0000006E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Ciências da Saúde (PCS) em 05/02/2024</w:t>
          </w:r>
        </w:p>
        <w:p w:rsidR="00000000" w:rsidDel="00000000" w:rsidP="00000000" w:rsidRDefault="00000000" w:rsidRPr="00000000" w14:paraId="0000006F">
          <w:pPr>
            <w:spacing w:line="240" w:lineRule="auto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Profª Drª 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Melyssa Fernanda Norman Negri Grassi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spacing w:line="240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Coordenadora PCS</w:t>
          </w:r>
        </w:p>
      </w:tc>
    </w:tr>
  </w:tbl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9"/>
      <w:tblW w:w="9060.0" w:type="dxa"/>
      <w:jc w:val="left"/>
      <w:tblInd w:w="-115.0" w:type="dxa"/>
      <w:tblLayout w:type="fixed"/>
      <w:tblLook w:val="0000"/>
    </w:tblPr>
    <w:tblGrid>
      <w:gridCol w:w="465"/>
      <w:gridCol w:w="1185"/>
      <w:gridCol w:w="5985"/>
      <w:gridCol w:w="1425"/>
      <w:tblGridChange w:id="0">
        <w:tblGrid>
          <w:gridCol w:w="465"/>
          <w:gridCol w:w="1185"/>
          <w:gridCol w:w="5985"/>
          <w:gridCol w:w="1425"/>
        </w:tblGrid>
      </w:tblGridChange>
    </w:tblGrid>
    <w:tr>
      <w:trPr>
        <w:cantSplit w:val="0"/>
        <w:trHeight w:val="838.505859375" w:hRule="atLeast"/>
        <w:tblHeader w:val="0"/>
      </w:trPr>
      <w:tc>
        <w:tcPr>
          <w:tcBorders>
            <w:right w:color="ffffff" w:space="0" w:sz="4" w:val="single"/>
          </w:tcBorders>
          <w:vAlign w:val="top"/>
        </w:tcPr>
        <w:p w:rsidR="00000000" w:rsidDel="00000000" w:rsidP="00000000" w:rsidRDefault="00000000" w:rsidRPr="00000000" w14:paraId="00000065">
          <w:pPr>
            <w:spacing w:before="60" w:line="324" w:lineRule="auto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vAlign w:val="top"/>
        </w:tcPr>
        <w:p w:rsidR="00000000" w:rsidDel="00000000" w:rsidP="00000000" w:rsidRDefault="00000000" w:rsidRPr="00000000" w14:paraId="00000066">
          <w:pPr>
            <w:spacing w:before="60" w:line="324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0" distT="0" distL="114300" distR="114300">
                <wp:extent cx="584200" cy="584200"/>
                <wp:effectExtent b="0" l="0" r="0" t="0"/>
                <wp:docPr id="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vAlign w:val="top"/>
        </w:tcPr>
        <w:p w:rsidR="00000000" w:rsidDel="00000000" w:rsidP="00000000" w:rsidRDefault="00000000" w:rsidRPr="00000000" w14:paraId="00000067">
          <w:pPr>
            <w:ind w:left="283.46456692913375" w:firstLine="0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Universidade Estadual de Maringá</w:t>
          </w:r>
        </w:p>
        <w:p w:rsidR="00000000" w:rsidDel="00000000" w:rsidP="00000000" w:rsidRDefault="00000000" w:rsidRPr="00000000" w14:paraId="00000068">
          <w:pPr>
            <w:ind w:left="283.46456692913375" w:firstLine="0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Centro de Ciências da Saúde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tabs>
              <w:tab w:val="left" w:leader="none" w:pos="3433"/>
            </w:tabs>
            <w:ind w:left="283.46456692913375" w:firstLine="0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rtl w:val="0"/>
            </w:rPr>
            <w:t xml:space="preserve">Programa de Pós-Graduação em Ciências da Saúde</w:t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  <w:vAlign w:val="top"/>
        </w:tcPr>
        <w:p w:rsidR="00000000" w:rsidDel="00000000" w:rsidP="00000000" w:rsidRDefault="00000000" w:rsidRPr="00000000" w14:paraId="0000006A">
          <w:pPr>
            <w:spacing w:before="60" w:line="324" w:lineRule="auto"/>
            <w:rPr>
              <w:rFonts w:ascii="Times New Roman" w:cs="Times New Roman" w:eastAsia="Times New Roman" w:hAnsi="Times New Roman"/>
              <w:b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114300" distT="114300" distL="114300" distR="114300">
                <wp:extent cx="599122" cy="599122"/>
                <wp:effectExtent b="0" l="0" r="0" t="0"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122" cy="5991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hAnsi="Bookman Old Style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2"/>
      </w:numPr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hAnsi="Times New Roman"/>
      <w:b w:val="1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2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imes New Roman" w:cs="Times New Roman" w:hAnsi="Times New Roman"/>
      <w:i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cs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0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FreeSans" w:hAnsi="Bookman Old Style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FreeSans" w:hAnsi="Bookman Old Style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60" w:before="60" w:line="1" w:lineRule="atLeast"/>
      <w:ind w:left="709" w:right="0" w:leftChars="-1" w:rightChars="0" w:hanging="283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hAnsi="Bookman Old Style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cs="Bookman Old Style" w:hAnsi="Bookman Old Style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Título6Char">
    <w:name w:val="Título 6 Char"/>
    <w:next w:val="Título6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popZ1J9ZGKypWZtMPi1DHYg3Q==">CgMxLjA4AHIhMVo2V2xXZGZ3MWJhbFRNNHk2NGhPSUtDejJ1VkFBQlNs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2021-06-16T20:19:00Z</dcterms:created>
  <dc:creator>dac</dc:creator>
</cp:coreProperties>
</file>